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5A5" w:rsidRDefault="00AB65A5" w:rsidP="003229E8">
      <w:pPr>
        <w:spacing w:after="0" w:line="480" w:lineRule="auto"/>
        <w:jc w:val="center"/>
        <w:rPr>
          <w:rFonts w:ascii="Times New Roman" w:hAnsi="Times New Roman" w:cs="Times New Roman"/>
          <w:sz w:val="24"/>
          <w:szCs w:val="24"/>
        </w:rPr>
      </w:pPr>
      <w:bookmarkStart w:id="0" w:name="_GoBack"/>
      <w:bookmarkEnd w:id="0"/>
    </w:p>
    <w:p w:rsidR="00AB65A5" w:rsidRDefault="00AB65A5" w:rsidP="003229E8">
      <w:pPr>
        <w:spacing w:after="0" w:line="480" w:lineRule="auto"/>
        <w:jc w:val="center"/>
        <w:rPr>
          <w:rFonts w:ascii="Times New Roman" w:hAnsi="Times New Roman" w:cs="Times New Roman"/>
          <w:sz w:val="24"/>
          <w:szCs w:val="24"/>
        </w:rPr>
      </w:pPr>
    </w:p>
    <w:p w:rsidR="00AB65A5" w:rsidRDefault="00AB65A5" w:rsidP="003229E8">
      <w:pPr>
        <w:spacing w:after="0" w:line="480" w:lineRule="auto"/>
        <w:jc w:val="center"/>
        <w:rPr>
          <w:rFonts w:ascii="Times New Roman" w:hAnsi="Times New Roman" w:cs="Times New Roman"/>
          <w:sz w:val="24"/>
          <w:szCs w:val="24"/>
        </w:rPr>
      </w:pPr>
    </w:p>
    <w:p w:rsidR="00AB65A5" w:rsidRDefault="00AB65A5" w:rsidP="003229E8">
      <w:pPr>
        <w:spacing w:after="0" w:line="480" w:lineRule="auto"/>
        <w:jc w:val="center"/>
        <w:rPr>
          <w:rFonts w:ascii="Times New Roman" w:hAnsi="Times New Roman" w:cs="Times New Roman"/>
          <w:sz w:val="24"/>
          <w:szCs w:val="24"/>
        </w:rPr>
      </w:pPr>
    </w:p>
    <w:p w:rsidR="00AB65A5" w:rsidRDefault="00AB65A5" w:rsidP="003229E8">
      <w:pPr>
        <w:spacing w:after="0" w:line="480" w:lineRule="auto"/>
        <w:jc w:val="center"/>
        <w:rPr>
          <w:rFonts w:ascii="Times New Roman" w:hAnsi="Times New Roman" w:cs="Times New Roman"/>
          <w:sz w:val="24"/>
          <w:szCs w:val="24"/>
        </w:rPr>
      </w:pPr>
    </w:p>
    <w:p w:rsidR="00AB65A5" w:rsidRDefault="00AB65A5" w:rsidP="003229E8">
      <w:pPr>
        <w:spacing w:after="0" w:line="480" w:lineRule="auto"/>
        <w:jc w:val="center"/>
        <w:rPr>
          <w:rFonts w:ascii="Times New Roman" w:hAnsi="Times New Roman" w:cs="Times New Roman"/>
          <w:sz w:val="24"/>
          <w:szCs w:val="24"/>
        </w:rPr>
      </w:pPr>
    </w:p>
    <w:p w:rsidR="00AB65A5" w:rsidRDefault="00AB65A5" w:rsidP="003229E8">
      <w:pPr>
        <w:spacing w:after="0" w:line="480" w:lineRule="auto"/>
        <w:jc w:val="center"/>
        <w:rPr>
          <w:rFonts w:ascii="Times New Roman" w:hAnsi="Times New Roman" w:cs="Times New Roman"/>
          <w:sz w:val="24"/>
          <w:szCs w:val="24"/>
        </w:rPr>
      </w:pPr>
    </w:p>
    <w:p w:rsidR="003229E8" w:rsidRPr="003229E8" w:rsidRDefault="003229E8" w:rsidP="003229E8">
      <w:pPr>
        <w:spacing w:after="0" w:line="480" w:lineRule="auto"/>
        <w:jc w:val="center"/>
        <w:rPr>
          <w:rFonts w:ascii="Times New Roman" w:hAnsi="Times New Roman" w:cs="Times New Roman"/>
          <w:sz w:val="24"/>
          <w:szCs w:val="24"/>
        </w:rPr>
      </w:pPr>
      <w:r w:rsidRPr="003229E8">
        <w:rPr>
          <w:rFonts w:ascii="Times New Roman" w:hAnsi="Times New Roman" w:cs="Times New Roman"/>
          <w:sz w:val="24"/>
          <w:szCs w:val="24"/>
        </w:rPr>
        <w:t>Arab Trade Dynamics</w:t>
      </w:r>
    </w:p>
    <w:p w:rsidR="003229E8" w:rsidRPr="003229E8" w:rsidRDefault="003229E8" w:rsidP="003229E8">
      <w:pPr>
        <w:spacing w:after="0" w:line="480" w:lineRule="auto"/>
        <w:jc w:val="center"/>
        <w:rPr>
          <w:rFonts w:ascii="Times New Roman" w:hAnsi="Times New Roman" w:cs="Times New Roman"/>
          <w:sz w:val="24"/>
          <w:szCs w:val="24"/>
        </w:rPr>
      </w:pPr>
      <w:r w:rsidRPr="003229E8">
        <w:rPr>
          <w:rFonts w:ascii="Times New Roman" w:hAnsi="Times New Roman" w:cs="Times New Roman"/>
          <w:sz w:val="24"/>
          <w:szCs w:val="24"/>
        </w:rPr>
        <w:t>Name:</w:t>
      </w:r>
    </w:p>
    <w:p w:rsidR="003229E8" w:rsidRDefault="003229E8" w:rsidP="003229E8">
      <w:pPr>
        <w:spacing w:after="0" w:line="480" w:lineRule="auto"/>
        <w:jc w:val="center"/>
        <w:rPr>
          <w:rFonts w:ascii="Times New Roman" w:hAnsi="Times New Roman" w:cs="Times New Roman"/>
          <w:sz w:val="24"/>
          <w:szCs w:val="24"/>
        </w:rPr>
      </w:pPr>
      <w:r w:rsidRPr="003229E8">
        <w:rPr>
          <w:rFonts w:ascii="Times New Roman" w:hAnsi="Times New Roman" w:cs="Times New Roman"/>
          <w:sz w:val="24"/>
          <w:szCs w:val="24"/>
        </w:rPr>
        <w:t>University:</w:t>
      </w:r>
    </w:p>
    <w:p w:rsidR="00AB65A5" w:rsidRDefault="00AB65A5" w:rsidP="003229E8">
      <w:pPr>
        <w:spacing w:after="0" w:line="480" w:lineRule="auto"/>
        <w:jc w:val="center"/>
        <w:rPr>
          <w:rFonts w:ascii="Times New Roman" w:hAnsi="Times New Roman" w:cs="Times New Roman"/>
          <w:sz w:val="24"/>
          <w:szCs w:val="24"/>
        </w:rPr>
      </w:pPr>
    </w:p>
    <w:p w:rsidR="00AB65A5" w:rsidRDefault="00AB65A5" w:rsidP="003229E8">
      <w:pPr>
        <w:spacing w:after="0" w:line="480" w:lineRule="auto"/>
        <w:jc w:val="center"/>
        <w:rPr>
          <w:rFonts w:ascii="Times New Roman" w:hAnsi="Times New Roman" w:cs="Times New Roman"/>
          <w:sz w:val="24"/>
          <w:szCs w:val="24"/>
        </w:rPr>
      </w:pPr>
    </w:p>
    <w:p w:rsidR="00AB65A5" w:rsidRDefault="00AB65A5" w:rsidP="003229E8">
      <w:pPr>
        <w:spacing w:after="0" w:line="480" w:lineRule="auto"/>
        <w:jc w:val="center"/>
        <w:rPr>
          <w:rFonts w:ascii="Times New Roman" w:hAnsi="Times New Roman" w:cs="Times New Roman"/>
          <w:sz w:val="24"/>
          <w:szCs w:val="24"/>
        </w:rPr>
      </w:pPr>
    </w:p>
    <w:p w:rsidR="00AB65A5" w:rsidRDefault="00AB65A5" w:rsidP="003229E8">
      <w:pPr>
        <w:spacing w:after="0" w:line="480" w:lineRule="auto"/>
        <w:jc w:val="center"/>
        <w:rPr>
          <w:rFonts w:ascii="Times New Roman" w:hAnsi="Times New Roman" w:cs="Times New Roman"/>
          <w:sz w:val="24"/>
          <w:szCs w:val="24"/>
        </w:rPr>
      </w:pPr>
    </w:p>
    <w:p w:rsidR="00AB65A5" w:rsidRDefault="00AB65A5" w:rsidP="003229E8">
      <w:pPr>
        <w:spacing w:after="0" w:line="480" w:lineRule="auto"/>
        <w:jc w:val="center"/>
        <w:rPr>
          <w:rFonts w:ascii="Times New Roman" w:hAnsi="Times New Roman" w:cs="Times New Roman"/>
          <w:sz w:val="24"/>
          <w:szCs w:val="24"/>
        </w:rPr>
      </w:pPr>
    </w:p>
    <w:p w:rsidR="00AB65A5" w:rsidRDefault="00AB65A5" w:rsidP="003229E8">
      <w:pPr>
        <w:spacing w:after="0" w:line="480" w:lineRule="auto"/>
        <w:jc w:val="center"/>
        <w:rPr>
          <w:rFonts w:ascii="Times New Roman" w:hAnsi="Times New Roman" w:cs="Times New Roman"/>
          <w:sz w:val="24"/>
          <w:szCs w:val="24"/>
        </w:rPr>
      </w:pPr>
    </w:p>
    <w:p w:rsidR="00AB65A5" w:rsidRDefault="00AB65A5" w:rsidP="003229E8">
      <w:pPr>
        <w:spacing w:after="0" w:line="480" w:lineRule="auto"/>
        <w:jc w:val="center"/>
        <w:rPr>
          <w:rFonts w:ascii="Times New Roman" w:hAnsi="Times New Roman" w:cs="Times New Roman"/>
          <w:sz w:val="24"/>
          <w:szCs w:val="24"/>
        </w:rPr>
      </w:pPr>
    </w:p>
    <w:p w:rsidR="00AB65A5" w:rsidRDefault="00AB65A5" w:rsidP="003229E8">
      <w:pPr>
        <w:spacing w:after="0" w:line="480" w:lineRule="auto"/>
        <w:jc w:val="center"/>
        <w:rPr>
          <w:rFonts w:ascii="Times New Roman" w:hAnsi="Times New Roman" w:cs="Times New Roman"/>
          <w:sz w:val="24"/>
          <w:szCs w:val="24"/>
        </w:rPr>
      </w:pPr>
    </w:p>
    <w:p w:rsidR="00AB65A5" w:rsidRDefault="00AB65A5" w:rsidP="003229E8">
      <w:pPr>
        <w:spacing w:after="0" w:line="480" w:lineRule="auto"/>
        <w:jc w:val="center"/>
        <w:rPr>
          <w:rFonts w:ascii="Times New Roman" w:hAnsi="Times New Roman" w:cs="Times New Roman"/>
          <w:sz w:val="24"/>
          <w:szCs w:val="24"/>
        </w:rPr>
      </w:pPr>
    </w:p>
    <w:p w:rsidR="00AB65A5" w:rsidRDefault="00AB65A5" w:rsidP="003229E8">
      <w:pPr>
        <w:spacing w:after="0" w:line="480" w:lineRule="auto"/>
        <w:jc w:val="center"/>
        <w:rPr>
          <w:rFonts w:ascii="Times New Roman" w:hAnsi="Times New Roman" w:cs="Times New Roman"/>
          <w:sz w:val="24"/>
          <w:szCs w:val="24"/>
        </w:rPr>
      </w:pPr>
    </w:p>
    <w:p w:rsidR="00AB65A5" w:rsidRDefault="00AB65A5" w:rsidP="003229E8">
      <w:pPr>
        <w:spacing w:after="0" w:line="480" w:lineRule="auto"/>
        <w:jc w:val="center"/>
        <w:rPr>
          <w:rFonts w:ascii="Times New Roman" w:hAnsi="Times New Roman" w:cs="Times New Roman"/>
          <w:sz w:val="24"/>
          <w:szCs w:val="24"/>
        </w:rPr>
      </w:pPr>
    </w:p>
    <w:p w:rsidR="00AB65A5" w:rsidRDefault="00AB65A5" w:rsidP="003229E8">
      <w:pPr>
        <w:spacing w:after="0" w:line="480" w:lineRule="auto"/>
        <w:jc w:val="center"/>
        <w:rPr>
          <w:rFonts w:ascii="Times New Roman" w:hAnsi="Times New Roman" w:cs="Times New Roman"/>
          <w:sz w:val="24"/>
          <w:szCs w:val="24"/>
        </w:rPr>
      </w:pPr>
    </w:p>
    <w:p w:rsidR="00AB65A5" w:rsidRPr="003229E8" w:rsidRDefault="00AB65A5" w:rsidP="003229E8">
      <w:pPr>
        <w:spacing w:after="0" w:line="480" w:lineRule="auto"/>
        <w:jc w:val="center"/>
        <w:rPr>
          <w:rFonts w:ascii="Times New Roman" w:hAnsi="Times New Roman" w:cs="Times New Roman"/>
          <w:sz w:val="24"/>
          <w:szCs w:val="24"/>
        </w:rPr>
      </w:pPr>
    </w:p>
    <w:p w:rsidR="00C91D48" w:rsidRPr="003229E8" w:rsidRDefault="00C91D48" w:rsidP="003229E8">
      <w:pPr>
        <w:spacing w:after="0" w:line="480" w:lineRule="auto"/>
        <w:jc w:val="center"/>
        <w:rPr>
          <w:rFonts w:ascii="Times New Roman" w:hAnsi="Times New Roman" w:cs="Times New Roman"/>
          <w:b/>
          <w:sz w:val="24"/>
          <w:szCs w:val="24"/>
        </w:rPr>
      </w:pPr>
      <w:r w:rsidRPr="003229E8">
        <w:rPr>
          <w:rFonts w:ascii="Times New Roman" w:hAnsi="Times New Roman" w:cs="Times New Roman"/>
          <w:b/>
          <w:sz w:val="24"/>
          <w:szCs w:val="24"/>
        </w:rPr>
        <w:lastRenderedPageBreak/>
        <w:t>Arab Trade Dynamics</w:t>
      </w:r>
    </w:p>
    <w:p w:rsidR="00583F79" w:rsidRPr="003229E8" w:rsidRDefault="00C91D48" w:rsidP="00AB65A5">
      <w:pPr>
        <w:spacing w:line="480" w:lineRule="auto"/>
        <w:ind w:firstLine="720"/>
        <w:rPr>
          <w:rFonts w:ascii="Times New Roman" w:hAnsi="Times New Roman" w:cs="Times New Roman"/>
          <w:sz w:val="24"/>
          <w:szCs w:val="24"/>
        </w:rPr>
      </w:pPr>
      <w:r w:rsidRPr="003229E8">
        <w:rPr>
          <w:rFonts w:ascii="Times New Roman" w:hAnsi="Times New Roman" w:cs="Times New Roman"/>
          <w:sz w:val="24"/>
          <w:szCs w:val="24"/>
        </w:rPr>
        <w:t xml:space="preserve">The Pan Arab Free Trade Area (PAFTA) offered its member states the ability to trade </w:t>
      </w:r>
      <w:r w:rsidR="00AB65A5" w:rsidRPr="003229E8">
        <w:rPr>
          <w:rFonts w:ascii="Times New Roman" w:hAnsi="Times New Roman" w:cs="Times New Roman"/>
          <w:sz w:val="24"/>
          <w:szCs w:val="24"/>
        </w:rPr>
        <w:t>tariff</w:t>
      </w:r>
      <w:r w:rsidRPr="003229E8">
        <w:rPr>
          <w:rFonts w:ascii="Times New Roman" w:hAnsi="Times New Roman" w:cs="Times New Roman"/>
          <w:sz w:val="24"/>
          <w:szCs w:val="24"/>
        </w:rPr>
        <w:t xml:space="preserve">-free. </w:t>
      </w:r>
      <w:r w:rsidR="00CF18F1" w:rsidRPr="003229E8">
        <w:rPr>
          <w:rFonts w:ascii="Times New Roman" w:hAnsi="Times New Roman" w:cs="Times New Roman"/>
          <w:sz w:val="24"/>
          <w:szCs w:val="24"/>
        </w:rPr>
        <w:t xml:space="preserve">Intra-Arab trade, therefore, became easier and the impact was seen through the growing number of exports and imports to and from nations within the trade area. Statistics show that trading within the </w:t>
      </w:r>
      <w:r w:rsidR="00AB65A5" w:rsidRPr="003229E8">
        <w:rPr>
          <w:rFonts w:ascii="Times New Roman" w:hAnsi="Times New Roman" w:cs="Times New Roman"/>
          <w:sz w:val="24"/>
          <w:szCs w:val="24"/>
        </w:rPr>
        <w:t>Arab</w:t>
      </w:r>
      <w:r w:rsidR="00CF18F1" w:rsidRPr="003229E8">
        <w:rPr>
          <w:rFonts w:ascii="Times New Roman" w:hAnsi="Times New Roman" w:cs="Times New Roman"/>
          <w:sz w:val="24"/>
          <w:szCs w:val="24"/>
        </w:rPr>
        <w:t xml:space="preserve"> region increased by 20% as a result of the treaty</w:t>
      </w:r>
      <w:r w:rsidR="00AB65A5">
        <w:rPr>
          <w:rFonts w:ascii="Times New Roman" w:hAnsi="Times New Roman" w:cs="Times New Roman"/>
          <w:sz w:val="24"/>
          <w:szCs w:val="24"/>
        </w:rPr>
        <w:t xml:space="preserve"> </w:t>
      </w:r>
      <w:r w:rsidR="00AB65A5">
        <w:rPr>
          <w:rFonts w:ascii="Times New Roman" w:hAnsi="Times New Roman" w:cs="Times New Roman"/>
          <w:sz w:val="24"/>
          <w:szCs w:val="24"/>
          <w:shd w:val="clear" w:color="auto" w:fill="FFFFFF"/>
        </w:rPr>
        <w:t>(</w:t>
      </w:r>
      <w:r w:rsidR="00AB65A5" w:rsidRPr="00AB65A5">
        <w:rPr>
          <w:rFonts w:ascii="Times New Roman" w:hAnsi="Times New Roman" w:cs="Times New Roman"/>
          <w:sz w:val="24"/>
          <w:szCs w:val="24"/>
          <w:shd w:val="clear" w:color="auto" w:fill="FFFFFF"/>
        </w:rPr>
        <w:t>Harb &amp; Shady, 2016)</w:t>
      </w:r>
      <w:r w:rsidR="00CF18F1" w:rsidRPr="003229E8">
        <w:rPr>
          <w:rFonts w:ascii="Times New Roman" w:hAnsi="Times New Roman" w:cs="Times New Roman"/>
          <w:sz w:val="24"/>
          <w:szCs w:val="24"/>
        </w:rPr>
        <w:t>. The analysis looks at the Arab Trade Dynamics case of the United Arab Emirates trade within the PAFTA.</w:t>
      </w:r>
    </w:p>
    <w:p w:rsidR="00CF18F1" w:rsidRPr="003229E8" w:rsidRDefault="00CF18F1" w:rsidP="003229E8">
      <w:pPr>
        <w:spacing w:line="480" w:lineRule="auto"/>
        <w:jc w:val="center"/>
        <w:rPr>
          <w:rFonts w:ascii="Times New Roman" w:hAnsi="Times New Roman" w:cs="Times New Roman"/>
          <w:b/>
          <w:sz w:val="24"/>
          <w:szCs w:val="24"/>
        </w:rPr>
      </w:pPr>
      <w:r w:rsidRPr="003229E8">
        <w:rPr>
          <w:rFonts w:ascii="Times New Roman" w:hAnsi="Times New Roman" w:cs="Times New Roman"/>
          <w:b/>
          <w:sz w:val="24"/>
          <w:szCs w:val="24"/>
        </w:rPr>
        <w:t>Analysis</w:t>
      </w:r>
    </w:p>
    <w:p w:rsidR="00CF18F1" w:rsidRPr="003229E8" w:rsidRDefault="00CF18F1" w:rsidP="003229E8">
      <w:pPr>
        <w:spacing w:line="480" w:lineRule="auto"/>
        <w:ind w:firstLine="720"/>
        <w:rPr>
          <w:rFonts w:ascii="Times New Roman" w:hAnsi="Times New Roman" w:cs="Times New Roman"/>
          <w:sz w:val="24"/>
          <w:szCs w:val="24"/>
        </w:rPr>
      </w:pPr>
      <w:r w:rsidRPr="003229E8">
        <w:rPr>
          <w:rFonts w:ascii="Times New Roman" w:hAnsi="Times New Roman" w:cs="Times New Roman"/>
          <w:sz w:val="24"/>
          <w:szCs w:val="24"/>
        </w:rPr>
        <w:t>The primary exports of the United Arab Emirates are crude oil and natural gas</w:t>
      </w:r>
      <w:r w:rsidR="00AB65A5" w:rsidRPr="00AB65A5">
        <w:rPr>
          <w:rFonts w:ascii="Times New Roman" w:hAnsi="Times New Roman" w:cs="Times New Roman"/>
          <w:color w:val="222222"/>
          <w:sz w:val="24"/>
          <w:szCs w:val="24"/>
          <w:shd w:val="clear" w:color="auto" w:fill="FFFFFF"/>
        </w:rPr>
        <w:t xml:space="preserve"> </w:t>
      </w:r>
      <w:r w:rsidR="00AB65A5">
        <w:rPr>
          <w:rFonts w:ascii="Times New Roman" w:hAnsi="Times New Roman" w:cs="Times New Roman"/>
          <w:color w:val="222222"/>
          <w:sz w:val="24"/>
          <w:szCs w:val="24"/>
          <w:shd w:val="clear" w:color="auto" w:fill="FFFFFF"/>
        </w:rPr>
        <w:t xml:space="preserve">(Abedini &amp; Péridy, </w:t>
      </w:r>
      <w:r w:rsidR="00AB65A5" w:rsidRPr="00AB65A5">
        <w:rPr>
          <w:rFonts w:ascii="Times New Roman" w:hAnsi="Times New Roman" w:cs="Times New Roman"/>
          <w:color w:val="222222"/>
          <w:sz w:val="24"/>
          <w:szCs w:val="24"/>
          <w:shd w:val="clear" w:color="auto" w:fill="FFFFFF"/>
        </w:rPr>
        <w:t>2008)</w:t>
      </w:r>
      <w:r w:rsidRPr="003229E8">
        <w:rPr>
          <w:rFonts w:ascii="Times New Roman" w:hAnsi="Times New Roman" w:cs="Times New Roman"/>
          <w:sz w:val="24"/>
          <w:szCs w:val="24"/>
        </w:rPr>
        <w:t xml:space="preserve">. The country has been able to experience serious growth in exports resulting from the free trade area. </w:t>
      </w:r>
      <w:r w:rsidR="000C2796" w:rsidRPr="003229E8">
        <w:rPr>
          <w:rFonts w:ascii="Times New Roman" w:hAnsi="Times New Roman" w:cs="Times New Roman"/>
          <w:sz w:val="24"/>
          <w:szCs w:val="24"/>
        </w:rPr>
        <w:t>UAE being a member of the free trade area, it had access to a wider market composed of 16 other countries. The market size is thus bigger and creates an opportunity for the country to sell more of its products. At the point of entry into the treaty, UAE was struggling to succeed as a desert country. However, the trade area was a success since UAE was able to find a wider market for its ready goods.</w:t>
      </w:r>
    </w:p>
    <w:p w:rsidR="000C2796" w:rsidRPr="003229E8" w:rsidRDefault="00AB65A5" w:rsidP="003229E8">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According to Abedini &amp; Péridy (</w:t>
      </w:r>
      <w:r w:rsidRPr="00AB65A5">
        <w:rPr>
          <w:rFonts w:ascii="Times New Roman" w:hAnsi="Times New Roman" w:cs="Times New Roman"/>
          <w:color w:val="222222"/>
          <w:sz w:val="24"/>
          <w:szCs w:val="24"/>
          <w:shd w:val="clear" w:color="auto" w:fill="FFFFFF"/>
        </w:rPr>
        <w:t>200</w:t>
      </w:r>
      <w:r>
        <w:rPr>
          <w:rFonts w:ascii="Times New Roman" w:hAnsi="Times New Roman" w:cs="Times New Roman"/>
          <w:color w:val="222222"/>
          <w:sz w:val="24"/>
          <w:szCs w:val="24"/>
          <w:shd w:val="clear" w:color="auto" w:fill="FFFFFF"/>
        </w:rPr>
        <w:t>8), i</w:t>
      </w:r>
      <w:r w:rsidR="000C2796" w:rsidRPr="003229E8">
        <w:rPr>
          <w:rFonts w:ascii="Times New Roman" w:hAnsi="Times New Roman" w:cs="Times New Roman"/>
          <w:sz w:val="24"/>
          <w:szCs w:val="24"/>
        </w:rPr>
        <w:t xml:space="preserve">n 2005 alone, UAE was able to export US$ 111.4 million crude oils and gas to </w:t>
      </w:r>
      <w:r>
        <w:rPr>
          <w:rFonts w:ascii="Times New Roman" w:hAnsi="Times New Roman" w:cs="Times New Roman"/>
          <w:sz w:val="24"/>
          <w:szCs w:val="24"/>
        </w:rPr>
        <w:t xml:space="preserve">the </w:t>
      </w:r>
      <w:r w:rsidRPr="003229E8">
        <w:rPr>
          <w:rFonts w:ascii="Times New Roman" w:hAnsi="Times New Roman" w:cs="Times New Roman"/>
          <w:sz w:val="24"/>
          <w:szCs w:val="24"/>
        </w:rPr>
        <w:t>PAFTA</w:t>
      </w:r>
      <w:r>
        <w:rPr>
          <w:rFonts w:ascii="Times New Roman" w:hAnsi="Times New Roman" w:cs="Times New Roman"/>
          <w:sz w:val="24"/>
          <w:szCs w:val="24"/>
        </w:rPr>
        <w:t xml:space="preserve"> member states</w:t>
      </w:r>
      <w:r w:rsidR="000C2796" w:rsidRPr="003229E8">
        <w:rPr>
          <w:rFonts w:ascii="Times New Roman" w:hAnsi="Times New Roman" w:cs="Times New Roman"/>
          <w:sz w:val="24"/>
          <w:szCs w:val="24"/>
        </w:rPr>
        <w:t>. This represents 82% of the total exports from the UAE. It shows that the country largely benefited from the free trade area. Through the trade area, UAE has been able to grow its exports by about 6% annually and increase its imports from other countries without incurring additional costs of trade</w:t>
      </w:r>
      <w:r w:rsidRPr="00AB65A5">
        <w:rPr>
          <w:rFonts w:ascii="Times New Roman" w:hAnsi="Times New Roman" w:cs="Times New Roman"/>
          <w:color w:val="333333"/>
          <w:sz w:val="24"/>
          <w:szCs w:val="24"/>
          <w:shd w:val="clear" w:color="auto" w:fill="FFFFFF"/>
        </w:rPr>
        <w:t xml:space="preserve"> </w:t>
      </w:r>
      <w:r w:rsidRPr="00AB65A5">
        <w:rPr>
          <w:rFonts w:ascii="Times New Roman" w:hAnsi="Times New Roman" w:cs="Times New Roman"/>
          <w:sz w:val="24"/>
          <w:szCs w:val="24"/>
          <w:shd w:val="clear" w:color="auto" w:fill="FFFFFF"/>
        </w:rPr>
        <w:t>(Harb &amp; Shady, 2016)</w:t>
      </w:r>
      <w:r w:rsidR="000C2796" w:rsidRPr="00AB65A5">
        <w:rPr>
          <w:rFonts w:ascii="Times New Roman" w:hAnsi="Times New Roman" w:cs="Times New Roman"/>
          <w:sz w:val="24"/>
          <w:szCs w:val="24"/>
        </w:rPr>
        <w:t>.</w:t>
      </w:r>
      <w:r w:rsidR="000C2796" w:rsidRPr="003229E8">
        <w:rPr>
          <w:rFonts w:ascii="Times New Roman" w:hAnsi="Times New Roman" w:cs="Times New Roman"/>
          <w:sz w:val="24"/>
          <w:szCs w:val="24"/>
        </w:rPr>
        <w:t xml:space="preserve"> The Pan Arab Free Trade Area has thus contributed to the success of the UAE as an economic giant within the Arab nations. </w:t>
      </w:r>
    </w:p>
    <w:p w:rsidR="000C2796" w:rsidRPr="003229E8" w:rsidRDefault="0041588A" w:rsidP="003229E8">
      <w:pPr>
        <w:spacing w:line="480" w:lineRule="auto"/>
        <w:ind w:firstLine="720"/>
        <w:rPr>
          <w:rFonts w:ascii="Times New Roman" w:hAnsi="Times New Roman" w:cs="Times New Roman"/>
          <w:sz w:val="24"/>
          <w:szCs w:val="24"/>
        </w:rPr>
      </w:pPr>
      <w:r w:rsidRPr="003229E8">
        <w:rPr>
          <w:rFonts w:ascii="Times New Roman" w:hAnsi="Times New Roman" w:cs="Times New Roman"/>
          <w:sz w:val="24"/>
          <w:szCs w:val="24"/>
        </w:rPr>
        <w:lastRenderedPageBreak/>
        <w:t>The UAE market is considered as one of the most dynamic markets when it comes to foreign trade. The existence of the Pan Arab Free Trade Area makes it even easier for the country to trade goods and services. Within the past 5 years, UAE has experienced a stable rate of exports. The main exports to the free trade area are seen to be at a stable rate. Since 2012 to 2016, the amount earned from exports has not seen a major change</w:t>
      </w:r>
      <w:r w:rsidR="00AB65A5" w:rsidRPr="00AB65A5">
        <w:rPr>
          <w:rFonts w:ascii="Times New Roman" w:hAnsi="Times New Roman" w:cs="Times New Roman"/>
          <w:sz w:val="24"/>
          <w:szCs w:val="24"/>
          <w:shd w:val="clear" w:color="auto" w:fill="FFFFFF"/>
        </w:rPr>
        <w:t xml:space="preserve"> </w:t>
      </w:r>
      <w:r w:rsidR="00AB65A5">
        <w:rPr>
          <w:rFonts w:ascii="Times New Roman" w:hAnsi="Times New Roman" w:cs="Times New Roman"/>
          <w:sz w:val="24"/>
          <w:szCs w:val="24"/>
          <w:shd w:val="clear" w:color="auto" w:fill="FFFFFF"/>
        </w:rPr>
        <w:t>(</w:t>
      </w:r>
      <w:r w:rsidR="00AB65A5" w:rsidRPr="00AB65A5">
        <w:rPr>
          <w:rFonts w:ascii="Times New Roman" w:hAnsi="Times New Roman" w:cs="Times New Roman"/>
          <w:sz w:val="24"/>
          <w:szCs w:val="24"/>
          <w:shd w:val="clear" w:color="auto" w:fill="FFFFFF"/>
        </w:rPr>
        <w:t>Harb &amp; Shady, 2016)</w:t>
      </w:r>
      <w:r w:rsidRPr="003229E8">
        <w:rPr>
          <w:rFonts w:ascii="Times New Roman" w:hAnsi="Times New Roman" w:cs="Times New Roman"/>
          <w:sz w:val="24"/>
          <w:szCs w:val="24"/>
        </w:rPr>
        <w:t xml:space="preserve">. </w:t>
      </w:r>
    </w:p>
    <w:p w:rsidR="0041588A" w:rsidRPr="003229E8" w:rsidRDefault="0041588A" w:rsidP="003229E8">
      <w:pPr>
        <w:spacing w:line="480" w:lineRule="auto"/>
        <w:ind w:firstLine="720"/>
        <w:rPr>
          <w:rFonts w:ascii="Times New Roman" w:hAnsi="Times New Roman" w:cs="Times New Roman"/>
          <w:sz w:val="24"/>
          <w:szCs w:val="24"/>
        </w:rPr>
      </w:pPr>
      <w:r w:rsidRPr="003229E8">
        <w:rPr>
          <w:rFonts w:ascii="Times New Roman" w:hAnsi="Times New Roman" w:cs="Times New Roman"/>
          <w:sz w:val="24"/>
          <w:szCs w:val="24"/>
        </w:rPr>
        <w:t xml:space="preserve">The PAFTA has thus contributed to the growth of the UAE’s exports to other countries within the Arab region. It has made it easier for countries to trade goods and services. Consequently, economies have experienced major growth since the most important export which is crude oil is considered as crucial around the world. UAE was able to export crude oil </w:t>
      </w:r>
      <w:r w:rsidR="00905C2A" w:rsidRPr="003229E8">
        <w:rPr>
          <w:rFonts w:ascii="Times New Roman" w:hAnsi="Times New Roman" w:cs="Times New Roman"/>
          <w:sz w:val="24"/>
          <w:szCs w:val="24"/>
        </w:rPr>
        <w:t>to countries within the trade area and in turn import more goods and services from the same region.</w:t>
      </w:r>
    </w:p>
    <w:p w:rsidR="00905C2A" w:rsidRPr="003229E8" w:rsidRDefault="00905C2A" w:rsidP="003229E8">
      <w:pPr>
        <w:spacing w:line="480" w:lineRule="auto"/>
        <w:jc w:val="center"/>
        <w:rPr>
          <w:rFonts w:ascii="Times New Roman" w:hAnsi="Times New Roman" w:cs="Times New Roman"/>
          <w:b/>
          <w:sz w:val="24"/>
          <w:szCs w:val="24"/>
        </w:rPr>
      </w:pPr>
      <w:r w:rsidRPr="003229E8">
        <w:rPr>
          <w:rFonts w:ascii="Times New Roman" w:hAnsi="Times New Roman" w:cs="Times New Roman"/>
          <w:b/>
          <w:sz w:val="24"/>
          <w:szCs w:val="24"/>
        </w:rPr>
        <w:t>Conclusion</w:t>
      </w:r>
    </w:p>
    <w:p w:rsidR="00905C2A" w:rsidRDefault="00905C2A" w:rsidP="003229E8">
      <w:pPr>
        <w:spacing w:line="480" w:lineRule="auto"/>
        <w:ind w:firstLine="720"/>
        <w:rPr>
          <w:rFonts w:ascii="Times New Roman" w:hAnsi="Times New Roman" w:cs="Times New Roman"/>
          <w:sz w:val="24"/>
          <w:szCs w:val="24"/>
        </w:rPr>
      </w:pPr>
      <w:r w:rsidRPr="003229E8">
        <w:rPr>
          <w:rFonts w:ascii="Times New Roman" w:hAnsi="Times New Roman" w:cs="Times New Roman"/>
          <w:sz w:val="24"/>
          <w:szCs w:val="24"/>
        </w:rPr>
        <w:t xml:space="preserve">In conclusion, free-trade areas can be considered as very important for countries within a specific region looking to grow. In most cases, growth is facilitated through trade and development from neighboring countries. Countries that are not willing to participate in free trade areas are likely to realize a slow economic growth. On the other hand, </w:t>
      </w:r>
      <w:r w:rsidR="003229E8" w:rsidRPr="003229E8">
        <w:rPr>
          <w:rFonts w:ascii="Times New Roman" w:hAnsi="Times New Roman" w:cs="Times New Roman"/>
          <w:sz w:val="24"/>
          <w:szCs w:val="24"/>
        </w:rPr>
        <w:t xml:space="preserve">free trade areas are also likely to lead to negative effects such as reduced tax revenues and depletion of the natural resources. The negative effects cannot contribute to economic recession since the positive effects outweigh the negative. It is thus important to note that the Pan Arab Free Trade Area has not only increased trade among countries but also stirred towards economic growth.  </w:t>
      </w:r>
    </w:p>
    <w:p w:rsidR="00AB65A5" w:rsidRDefault="00AB65A5" w:rsidP="003229E8">
      <w:pPr>
        <w:spacing w:line="480" w:lineRule="auto"/>
        <w:ind w:firstLine="720"/>
        <w:rPr>
          <w:rFonts w:ascii="Times New Roman" w:hAnsi="Times New Roman" w:cs="Times New Roman"/>
          <w:sz w:val="24"/>
          <w:szCs w:val="24"/>
        </w:rPr>
      </w:pPr>
    </w:p>
    <w:p w:rsidR="00AB65A5" w:rsidRDefault="00AB65A5" w:rsidP="00AB65A5">
      <w:pPr>
        <w:spacing w:line="480" w:lineRule="auto"/>
        <w:rPr>
          <w:rFonts w:ascii="Times New Roman" w:hAnsi="Times New Roman" w:cs="Times New Roman"/>
          <w:sz w:val="24"/>
          <w:szCs w:val="24"/>
        </w:rPr>
      </w:pPr>
    </w:p>
    <w:p w:rsidR="00AB65A5" w:rsidRPr="00AB65A5" w:rsidRDefault="00AB65A5" w:rsidP="00AB65A5">
      <w:pPr>
        <w:spacing w:line="480" w:lineRule="auto"/>
        <w:jc w:val="center"/>
        <w:rPr>
          <w:rFonts w:ascii="Times New Roman" w:hAnsi="Times New Roman" w:cs="Times New Roman"/>
          <w:b/>
          <w:sz w:val="24"/>
          <w:szCs w:val="24"/>
        </w:rPr>
      </w:pPr>
      <w:r w:rsidRPr="00AB65A5">
        <w:rPr>
          <w:rFonts w:ascii="Times New Roman" w:hAnsi="Times New Roman" w:cs="Times New Roman"/>
          <w:b/>
          <w:sz w:val="24"/>
          <w:szCs w:val="24"/>
        </w:rPr>
        <w:lastRenderedPageBreak/>
        <w:t>References</w:t>
      </w:r>
    </w:p>
    <w:p w:rsidR="00AB65A5" w:rsidRPr="00AB65A5" w:rsidRDefault="00AB65A5" w:rsidP="00AB65A5">
      <w:pPr>
        <w:spacing w:line="480" w:lineRule="auto"/>
        <w:ind w:left="720" w:hanging="720"/>
        <w:rPr>
          <w:rFonts w:ascii="Times New Roman" w:hAnsi="Times New Roman" w:cs="Times New Roman"/>
          <w:color w:val="222222"/>
          <w:sz w:val="24"/>
          <w:szCs w:val="24"/>
          <w:shd w:val="clear" w:color="auto" w:fill="FFFFFF"/>
        </w:rPr>
      </w:pPr>
      <w:r w:rsidRPr="00AB65A5">
        <w:rPr>
          <w:rFonts w:ascii="Times New Roman" w:hAnsi="Times New Roman" w:cs="Times New Roman"/>
          <w:color w:val="222222"/>
          <w:sz w:val="24"/>
          <w:szCs w:val="24"/>
          <w:shd w:val="clear" w:color="auto" w:fill="FFFFFF"/>
        </w:rPr>
        <w:t>Abedini, J., &amp; Péridy, N. (2008). The Greater Arab Free Trade Area (GAFTA): an estimation of its trade effects. </w:t>
      </w:r>
      <w:r w:rsidRPr="00AB65A5">
        <w:rPr>
          <w:rFonts w:ascii="Times New Roman" w:hAnsi="Times New Roman" w:cs="Times New Roman"/>
          <w:i/>
          <w:iCs/>
          <w:color w:val="222222"/>
          <w:sz w:val="24"/>
          <w:szCs w:val="24"/>
          <w:shd w:val="clear" w:color="auto" w:fill="FFFFFF"/>
        </w:rPr>
        <w:t>Journal of Economic Integration</w:t>
      </w:r>
      <w:r w:rsidRPr="00AB65A5">
        <w:rPr>
          <w:rFonts w:ascii="Times New Roman" w:hAnsi="Times New Roman" w:cs="Times New Roman"/>
          <w:color w:val="222222"/>
          <w:sz w:val="24"/>
          <w:szCs w:val="24"/>
          <w:shd w:val="clear" w:color="auto" w:fill="FFFFFF"/>
        </w:rPr>
        <w:t>, 848-872.</w:t>
      </w:r>
    </w:p>
    <w:p w:rsidR="00AB65A5" w:rsidRPr="00AB65A5" w:rsidRDefault="00AB65A5" w:rsidP="00AB65A5">
      <w:pPr>
        <w:spacing w:line="480" w:lineRule="auto"/>
        <w:ind w:left="720" w:hanging="720"/>
        <w:rPr>
          <w:rFonts w:ascii="Times New Roman" w:hAnsi="Times New Roman" w:cs="Times New Roman"/>
          <w:sz w:val="24"/>
          <w:szCs w:val="24"/>
        </w:rPr>
      </w:pPr>
      <w:r w:rsidRPr="00AB65A5">
        <w:rPr>
          <w:rFonts w:ascii="Times New Roman" w:hAnsi="Times New Roman" w:cs="Times New Roman"/>
          <w:color w:val="333333"/>
          <w:sz w:val="24"/>
          <w:szCs w:val="24"/>
          <w:shd w:val="clear" w:color="auto" w:fill="FFFFFF"/>
        </w:rPr>
        <w:t>Harb, G. &amp; Shady, N. (2016). Arab Trade Dynamics after the Implementation of the Pan Arab Free Trade Area (1998–2012). </w:t>
      </w:r>
      <w:r w:rsidRPr="00AB65A5">
        <w:rPr>
          <w:rFonts w:ascii="Times New Roman" w:hAnsi="Times New Roman" w:cs="Times New Roman"/>
          <w:i/>
          <w:iCs/>
          <w:color w:val="333333"/>
          <w:sz w:val="24"/>
          <w:szCs w:val="24"/>
          <w:shd w:val="clear" w:color="auto" w:fill="FFFFFF"/>
        </w:rPr>
        <w:t>Review of Middle East Economics and Finance</w:t>
      </w:r>
      <w:r w:rsidRPr="00AB65A5">
        <w:rPr>
          <w:rFonts w:ascii="Times New Roman" w:hAnsi="Times New Roman" w:cs="Times New Roman"/>
          <w:color w:val="333333"/>
          <w:sz w:val="24"/>
          <w:szCs w:val="24"/>
          <w:shd w:val="clear" w:color="auto" w:fill="FFFFFF"/>
        </w:rPr>
        <w:t>, 12(1), pp. 1-29. Retrieved 2 Nov. 2017, from doi:10.1515/rmeef-2015-0041</w:t>
      </w:r>
    </w:p>
    <w:sectPr w:rsidR="00AB65A5" w:rsidRPr="00AB65A5" w:rsidSect="00AB65A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52B" w:rsidRDefault="00AB252B" w:rsidP="00AB65A5">
      <w:pPr>
        <w:spacing w:after="0" w:line="240" w:lineRule="auto"/>
      </w:pPr>
      <w:r>
        <w:separator/>
      </w:r>
    </w:p>
  </w:endnote>
  <w:endnote w:type="continuationSeparator" w:id="0">
    <w:p w:rsidR="00AB252B" w:rsidRDefault="00AB252B" w:rsidP="00AB6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779" w:rsidRDefault="005F07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779" w:rsidRDefault="005F077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779" w:rsidRDefault="005F07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52B" w:rsidRDefault="00AB252B" w:rsidP="00AB65A5">
      <w:pPr>
        <w:spacing w:after="0" w:line="240" w:lineRule="auto"/>
      </w:pPr>
      <w:r>
        <w:separator/>
      </w:r>
    </w:p>
  </w:footnote>
  <w:footnote w:type="continuationSeparator" w:id="0">
    <w:p w:rsidR="00AB252B" w:rsidRDefault="00AB252B" w:rsidP="00AB65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779" w:rsidRDefault="005F07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5A5" w:rsidRPr="00AB65A5" w:rsidRDefault="00AB65A5">
    <w:pPr>
      <w:pStyle w:val="Header"/>
      <w:jc w:val="right"/>
      <w:rPr>
        <w:rFonts w:ascii="Times New Roman" w:hAnsi="Times New Roman" w:cs="Times New Roman"/>
        <w:sz w:val="24"/>
        <w:szCs w:val="24"/>
      </w:rPr>
    </w:pPr>
    <w:r w:rsidRPr="00AB65A5">
      <w:rPr>
        <w:rFonts w:ascii="Times New Roman" w:hAnsi="Times New Roman" w:cs="Times New Roman"/>
        <w:sz w:val="24"/>
        <w:szCs w:val="24"/>
      </w:rPr>
      <w:t>PAN ARAB FREE TRADE AREA</w:t>
    </w:r>
    <w:r>
      <w:rPr>
        <w:rFonts w:ascii="Times New Roman" w:hAnsi="Times New Roman" w:cs="Times New Roman"/>
        <w:sz w:val="24"/>
        <w:szCs w:val="24"/>
      </w:rPr>
      <w:t xml:space="preserve">                                                                                              </w:t>
    </w:r>
    <w:r w:rsidRPr="00AB65A5">
      <w:rPr>
        <w:rFonts w:ascii="Times New Roman" w:hAnsi="Times New Roman" w:cs="Times New Roman"/>
        <w:sz w:val="24"/>
        <w:szCs w:val="24"/>
      </w:rPr>
      <w:t xml:space="preserve"> </w:t>
    </w:r>
    <w:sdt>
      <w:sdtPr>
        <w:rPr>
          <w:rFonts w:ascii="Times New Roman" w:hAnsi="Times New Roman" w:cs="Times New Roman"/>
          <w:sz w:val="24"/>
          <w:szCs w:val="24"/>
        </w:rPr>
        <w:id w:val="7543857"/>
        <w:docPartObj>
          <w:docPartGallery w:val="Page Numbers (Top of Page)"/>
          <w:docPartUnique/>
        </w:docPartObj>
      </w:sdtPr>
      <w:sdtEndPr/>
      <w:sdtContent>
        <w:r w:rsidRPr="00AB65A5">
          <w:rPr>
            <w:rFonts w:ascii="Times New Roman" w:hAnsi="Times New Roman" w:cs="Times New Roman"/>
            <w:sz w:val="24"/>
            <w:szCs w:val="24"/>
          </w:rPr>
          <w:fldChar w:fldCharType="begin"/>
        </w:r>
        <w:r w:rsidRPr="00AB65A5">
          <w:rPr>
            <w:rFonts w:ascii="Times New Roman" w:hAnsi="Times New Roman" w:cs="Times New Roman"/>
            <w:sz w:val="24"/>
            <w:szCs w:val="24"/>
          </w:rPr>
          <w:instrText xml:space="preserve"> PAGE   \* MERGEFORMAT </w:instrText>
        </w:r>
        <w:r w:rsidRPr="00AB65A5">
          <w:rPr>
            <w:rFonts w:ascii="Times New Roman" w:hAnsi="Times New Roman" w:cs="Times New Roman"/>
            <w:sz w:val="24"/>
            <w:szCs w:val="24"/>
          </w:rPr>
          <w:fldChar w:fldCharType="separate"/>
        </w:r>
        <w:r w:rsidR="005F0779">
          <w:rPr>
            <w:rFonts w:ascii="Times New Roman" w:hAnsi="Times New Roman" w:cs="Times New Roman"/>
            <w:noProof/>
            <w:sz w:val="24"/>
            <w:szCs w:val="24"/>
          </w:rPr>
          <w:t>4</w:t>
        </w:r>
        <w:r w:rsidRPr="00AB65A5">
          <w:rPr>
            <w:rFonts w:ascii="Times New Roman" w:hAnsi="Times New Roman" w:cs="Times New Roman"/>
            <w:sz w:val="24"/>
            <w:szCs w:val="24"/>
          </w:rPr>
          <w:fldChar w:fldCharType="end"/>
        </w:r>
      </w:sdtContent>
    </w:sdt>
  </w:p>
  <w:p w:rsidR="00AB65A5" w:rsidRDefault="00AB65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5A5" w:rsidRPr="00AB65A5" w:rsidRDefault="00AB65A5">
    <w:pPr>
      <w:pStyle w:val="Header"/>
      <w:jc w:val="right"/>
      <w:rPr>
        <w:rFonts w:ascii="Times New Roman" w:hAnsi="Times New Roman" w:cs="Times New Roman"/>
        <w:sz w:val="24"/>
        <w:szCs w:val="24"/>
      </w:rPr>
    </w:pPr>
    <w:r w:rsidRPr="00AB65A5">
      <w:rPr>
        <w:rFonts w:ascii="Times New Roman" w:hAnsi="Times New Roman" w:cs="Times New Roman"/>
        <w:sz w:val="24"/>
        <w:szCs w:val="24"/>
      </w:rPr>
      <w:t>Running head: PAN ARAB FREE TRADE AREA</w:t>
    </w:r>
    <w:r>
      <w:rPr>
        <w:rFonts w:ascii="Times New Roman" w:hAnsi="Times New Roman" w:cs="Times New Roman"/>
        <w:sz w:val="24"/>
        <w:szCs w:val="24"/>
      </w:rPr>
      <w:t xml:space="preserve">                                                                       </w:t>
    </w:r>
    <w:r w:rsidRPr="00AB65A5">
      <w:rPr>
        <w:rFonts w:ascii="Times New Roman" w:hAnsi="Times New Roman" w:cs="Times New Roman"/>
        <w:sz w:val="24"/>
        <w:szCs w:val="24"/>
      </w:rPr>
      <w:t xml:space="preserve"> </w:t>
    </w:r>
    <w:sdt>
      <w:sdtPr>
        <w:rPr>
          <w:rFonts w:ascii="Times New Roman" w:hAnsi="Times New Roman" w:cs="Times New Roman"/>
          <w:sz w:val="24"/>
          <w:szCs w:val="24"/>
        </w:rPr>
        <w:id w:val="7543739"/>
        <w:docPartObj>
          <w:docPartGallery w:val="Page Numbers (Top of Page)"/>
          <w:docPartUnique/>
        </w:docPartObj>
      </w:sdtPr>
      <w:sdtEndPr/>
      <w:sdtContent>
        <w:r w:rsidRPr="00AB65A5">
          <w:rPr>
            <w:rFonts w:ascii="Times New Roman" w:hAnsi="Times New Roman" w:cs="Times New Roman"/>
            <w:sz w:val="24"/>
            <w:szCs w:val="24"/>
          </w:rPr>
          <w:fldChar w:fldCharType="begin"/>
        </w:r>
        <w:r w:rsidRPr="00AB65A5">
          <w:rPr>
            <w:rFonts w:ascii="Times New Roman" w:hAnsi="Times New Roman" w:cs="Times New Roman"/>
            <w:sz w:val="24"/>
            <w:szCs w:val="24"/>
          </w:rPr>
          <w:instrText xml:space="preserve"> PAGE   \* MERGEFORMAT </w:instrText>
        </w:r>
        <w:r w:rsidRPr="00AB65A5">
          <w:rPr>
            <w:rFonts w:ascii="Times New Roman" w:hAnsi="Times New Roman" w:cs="Times New Roman"/>
            <w:sz w:val="24"/>
            <w:szCs w:val="24"/>
          </w:rPr>
          <w:fldChar w:fldCharType="separate"/>
        </w:r>
        <w:r w:rsidR="005F0779">
          <w:rPr>
            <w:rFonts w:ascii="Times New Roman" w:hAnsi="Times New Roman" w:cs="Times New Roman"/>
            <w:noProof/>
            <w:sz w:val="24"/>
            <w:szCs w:val="24"/>
          </w:rPr>
          <w:t>1</w:t>
        </w:r>
        <w:r w:rsidRPr="00AB65A5">
          <w:rPr>
            <w:rFonts w:ascii="Times New Roman" w:hAnsi="Times New Roman" w:cs="Times New Roman"/>
            <w:sz w:val="24"/>
            <w:szCs w:val="24"/>
          </w:rPr>
          <w:fldChar w:fldCharType="end"/>
        </w:r>
      </w:sdtContent>
    </w:sdt>
  </w:p>
  <w:p w:rsidR="00AB65A5" w:rsidRDefault="00AB65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removePersonalInformation/>
  <w:removeDateAndTim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D48"/>
    <w:rsid w:val="000C2796"/>
    <w:rsid w:val="003229E8"/>
    <w:rsid w:val="0041588A"/>
    <w:rsid w:val="00583F79"/>
    <w:rsid w:val="005F0779"/>
    <w:rsid w:val="00905C2A"/>
    <w:rsid w:val="00991C64"/>
    <w:rsid w:val="00AB252B"/>
    <w:rsid w:val="00AB65A5"/>
    <w:rsid w:val="00C91D48"/>
    <w:rsid w:val="00CF1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5A5"/>
  </w:style>
  <w:style w:type="paragraph" w:styleId="Footer">
    <w:name w:val="footer"/>
    <w:basedOn w:val="Normal"/>
    <w:link w:val="FooterChar"/>
    <w:uiPriority w:val="99"/>
    <w:unhideWhenUsed/>
    <w:rsid w:val="00AB6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5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5A5"/>
  </w:style>
  <w:style w:type="paragraph" w:styleId="Footer">
    <w:name w:val="footer"/>
    <w:basedOn w:val="Normal"/>
    <w:link w:val="FooterChar"/>
    <w:uiPriority w:val="99"/>
    <w:unhideWhenUsed/>
    <w:rsid w:val="00AB6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3253</Characters>
  <Application>Microsoft Office Word</Application>
  <DocSecurity>0</DocSecurity>
  <Lines>27</Lines>
  <Paragraphs>7</Paragraphs>
  <ScaleCrop>false</ScaleCrop>
  <LinksUpToDate>false</LinksUpToDate>
  <CharactersWithSpaces>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2017-11-02T20:17:00Z</dcterms:created>
  <dcterms:modified xsi:type="dcterms:W3CDTF">2017-11-02T20:17:00Z</dcterms:modified>
</cp:coreProperties>
</file>